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C7E1" w14:textId="71D079C5" w:rsidR="00B818D6" w:rsidRPr="00B818D6" w:rsidRDefault="00B818D6" w:rsidP="00B818D6">
      <w:pPr>
        <w:spacing w:line="276" w:lineRule="auto"/>
        <w:jc w:val="center"/>
        <w:rPr>
          <w:rFonts w:ascii="Montserrat" w:hAnsi="Montserrat"/>
          <w:b/>
          <w:bCs/>
        </w:rPr>
      </w:pPr>
      <w:r w:rsidRPr="00B818D6">
        <w:rPr>
          <w:rFonts w:ascii="Montserrat" w:hAnsi="Montserrat"/>
          <w:b/>
          <w:bCs/>
        </w:rPr>
        <w:t>AVISO DE PRIVACIDAD SIMPLIFICADO PARA LA PRESTACIÓN DEL SERVICIO MÉDICO DEL PERSONAL DEL FONATUR</w:t>
      </w:r>
    </w:p>
    <w:p w14:paraId="007D742E" w14:textId="43B8CE7F" w:rsidR="00B818D6" w:rsidRPr="00B818D6" w:rsidRDefault="00B818D6" w:rsidP="0035030C">
      <w:pPr>
        <w:spacing w:line="276" w:lineRule="auto"/>
        <w:rPr>
          <w:rFonts w:ascii="Montserrat" w:hAnsi="Montserrat"/>
        </w:rPr>
      </w:pPr>
    </w:p>
    <w:p w14:paraId="75337802" w14:textId="718F902A" w:rsidR="00B818D6" w:rsidRPr="00B818D6" w:rsidRDefault="00B818D6" w:rsidP="00B818D6">
      <w:pPr>
        <w:spacing w:line="276" w:lineRule="auto"/>
        <w:jc w:val="both"/>
        <w:rPr>
          <w:rFonts w:ascii="Montserrat" w:hAnsi="Montserrat"/>
        </w:rPr>
      </w:pPr>
      <w:r w:rsidRPr="00B818D6">
        <w:rPr>
          <w:rFonts w:ascii="Montserrat" w:hAnsi="Montserrat"/>
        </w:rPr>
        <w:t>El Fondo Nacional de Fomento al Turismo</w:t>
      </w:r>
      <w:r w:rsidR="0059287E">
        <w:rPr>
          <w:rFonts w:ascii="Montserrat" w:hAnsi="Montserrat"/>
        </w:rPr>
        <w:t xml:space="preserve"> </w:t>
      </w:r>
      <w:r w:rsidRPr="00B818D6">
        <w:rPr>
          <w:rFonts w:ascii="Montserrat" w:hAnsi="Montserrat"/>
        </w:rPr>
        <w:t xml:space="preserve">FONATUR </w:t>
      </w:r>
      <w:r w:rsidR="009C40FE" w:rsidRPr="007D12D0">
        <w:rPr>
          <w:rFonts w:ascii="Montserrat" w:hAnsi="Montserrat" w:cs="Arial"/>
          <w:shd w:val="clear" w:color="auto" w:fill="FFFFFF"/>
        </w:rPr>
        <w:t>a través de la Subdirección de Capital Humano</w:t>
      </w:r>
      <w:r w:rsidR="009C40FE">
        <w:rPr>
          <w:rFonts w:ascii="Montserrat" w:hAnsi="Montserrat" w:cs="Arial"/>
          <w:shd w:val="clear" w:color="auto" w:fill="FFFFFF"/>
        </w:rPr>
        <w:t>,</w:t>
      </w:r>
      <w:r w:rsidR="009C40FE" w:rsidRPr="007D12D0">
        <w:rPr>
          <w:rFonts w:ascii="Montserrat" w:hAnsi="Montserrat" w:cs="Arial"/>
          <w:shd w:val="clear" w:color="auto" w:fill="FFFFFF"/>
        </w:rPr>
        <w:t xml:space="preserve"> con </w:t>
      </w:r>
      <w:r w:rsidR="009C40FE" w:rsidRPr="007D12D0">
        <w:rPr>
          <w:rFonts w:ascii="Montserrat" w:hAnsi="Montserrat"/>
        </w:rPr>
        <w:t>domicilio en Calle Tecoyotitla, No. 100, segundo piso, Colonia Florida, Alcaldía Álvaro Obregón, Código Postal 01030, Ciudad de México</w:t>
      </w:r>
      <w:r w:rsidR="009C40FE">
        <w:rPr>
          <w:rFonts w:ascii="Montserrat" w:hAnsi="Montserrat"/>
        </w:rPr>
        <w:t>,</w:t>
      </w:r>
      <w:r w:rsidR="009C40FE" w:rsidRPr="00B818D6">
        <w:rPr>
          <w:rFonts w:ascii="Montserrat" w:hAnsi="Montserrat"/>
        </w:rPr>
        <w:t xml:space="preserve"> </w:t>
      </w:r>
      <w:r w:rsidRPr="00B818D6">
        <w:rPr>
          <w:rFonts w:ascii="Montserrat" w:hAnsi="Montserrat"/>
        </w:rPr>
        <w:t xml:space="preserve">es </w:t>
      </w:r>
      <w:r w:rsidR="009C40FE">
        <w:rPr>
          <w:rFonts w:ascii="Montserrat" w:hAnsi="Montserrat"/>
        </w:rPr>
        <w:t>e</w:t>
      </w:r>
      <w:r w:rsidRPr="00B818D6">
        <w:rPr>
          <w:rFonts w:ascii="Montserrat" w:hAnsi="Montserrat"/>
        </w:rPr>
        <w:t>l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14:paraId="73A2038D" w14:textId="77777777" w:rsidR="00B818D6" w:rsidRPr="00B818D6" w:rsidRDefault="00B818D6" w:rsidP="0035030C">
      <w:pPr>
        <w:spacing w:line="276" w:lineRule="auto"/>
        <w:rPr>
          <w:rFonts w:ascii="Montserrat" w:hAnsi="Montserrat"/>
        </w:rPr>
      </w:pPr>
    </w:p>
    <w:p w14:paraId="2722C9F8" w14:textId="45FA4B56" w:rsidR="00B818D6" w:rsidRPr="00B818D6" w:rsidRDefault="00B818D6" w:rsidP="0035030C">
      <w:pPr>
        <w:spacing w:line="276" w:lineRule="auto"/>
        <w:rPr>
          <w:rFonts w:ascii="Montserrat" w:hAnsi="Montserrat"/>
          <w:b/>
          <w:bCs/>
        </w:rPr>
      </w:pPr>
      <w:r w:rsidRPr="00B818D6">
        <w:rPr>
          <w:rFonts w:ascii="Montserrat" w:hAnsi="Montserrat"/>
          <w:b/>
          <w:bCs/>
        </w:rPr>
        <w:t>¿Para qué fines utilizaremos sus datos personales?</w:t>
      </w:r>
    </w:p>
    <w:p w14:paraId="46BF3ECD" w14:textId="77777777" w:rsidR="00B818D6" w:rsidRPr="00B818D6" w:rsidRDefault="00B818D6" w:rsidP="0035030C">
      <w:pPr>
        <w:spacing w:line="276" w:lineRule="auto"/>
        <w:rPr>
          <w:rFonts w:ascii="Montserrat" w:hAnsi="Montserrat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2268"/>
        <w:gridCol w:w="2312"/>
      </w:tblGrid>
      <w:tr w:rsidR="009F6B51" w:rsidRPr="009F6B51" w14:paraId="4F2C7A10" w14:textId="77777777" w:rsidTr="009F6B51">
        <w:tc>
          <w:tcPr>
            <w:tcW w:w="5382" w:type="dxa"/>
            <w:vMerge w:val="restart"/>
            <w:vAlign w:val="center"/>
          </w:tcPr>
          <w:p w14:paraId="454BDD08" w14:textId="15DD121A" w:rsidR="009F6B51" w:rsidRPr="009F6B51" w:rsidRDefault="009F6B51" w:rsidP="009F6B51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9F6B51">
              <w:rPr>
                <w:rFonts w:ascii="Montserrat" w:hAnsi="Montserrat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4580" w:type="dxa"/>
            <w:gridSpan w:val="2"/>
          </w:tcPr>
          <w:p w14:paraId="54E7797C" w14:textId="7B3CB4B4" w:rsidR="009F6B51" w:rsidRPr="009F6B51" w:rsidRDefault="009F6B51" w:rsidP="00B818D6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9F6B51">
              <w:rPr>
                <w:rFonts w:ascii="Montserrat" w:hAnsi="Montserrat"/>
                <w:b/>
                <w:bCs/>
                <w:sz w:val="20"/>
                <w:szCs w:val="20"/>
              </w:rPr>
              <w:t>¿Requieren consentimiento del titular?</w:t>
            </w:r>
          </w:p>
        </w:tc>
      </w:tr>
      <w:tr w:rsidR="009F6B51" w:rsidRPr="009F6B51" w14:paraId="7F9E151D" w14:textId="77777777" w:rsidTr="009F6B51">
        <w:tc>
          <w:tcPr>
            <w:tcW w:w="5382" w:type="dxa"/>
            <w:vMerge/>
          </w:tcPr>
          <w:p w14:paraId="7853A6DA" w14:textId="77777777" w:rsidR="009F6B51" w:rsidRPr="009F6B51" w:rsidRDefault="009F6B51" w:rsidP="0035030C">
            <w:pPr>
              <w:spacing w:line="276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3500BE" w14:textId="474920AC" w:rsidR="009F6B51" w:rsidRPr="009F6B51" w:rsidRDefault="009F6B51" w:rsidP="009F6B51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9F6B51">
              <w:rPr>
                <w:rFonts w:ascii="Montserrat" w:hAnsi="Montserra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312" w:type="dxa"/>
          </w:tcPr>
          <w:p w14:paraId="586A4320" w14:textId="09785B7E" w:rsidR="009F6B51" w:rsidRPr="009F6B51" w:rsidRDefault="009F6B51" w:rsidP="009F6B51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9F6B51">
              <w:rPr>
                <w:rFonts w:ascii="Montserrat" w:hAnsi="Montserrat"/>
                <w:b/>
                <w:bCs/>
                <w:sz w:val="20"/>
                <w:szCs w:val="20"/>
              </w:rPr>
              <w:t>SI</w:t>
            </w:r>
          </w:p>
        </w:tc>
      </w:tr>
      <w:tr w:rsidR="00B818D6" w:rsidRPr="009F6B51" w14:paraId="46415F03" w14:textId="77777777" w:rsidTr="009F6B51">
        <w:tc>
          <w:tcPr>
            <w:tcW w:w="5382" w:type="dxa"/>
          </w:tcPr>
          <w:p w14:paraId="6E9CE85A" w14:textId="44FC4443" w:rsidR="00B818D6" w:rsidRPr="009F6B51" w:rsidRDefault="00B818D6" w:rsidP="0035030C">
            <w:pPr>
              <w:spacing w:line="276" w:lineRule="auto"/>
              <w:rPr>
                <w:rFonts w:ascii="Montserrat" w:hAnsi="Montserrat"/>
                <w:sz w:val="20"/>
                <w:szCs w:val="20"/>
              </w:rPr>
            </w:pPr>
            <w:r w:rsidRPr="009F6B51">
              <w:rPr>
                <w:rFonts w:ascii="Montserrat" w:hAnsi="Montserrat"/>
                <w:sz w:val="20"/>
                <w:szCs w:val="20"/>
              </w:rPr>
              <w:t>Conocer los antecedentes médicos del personal sin fines de lucro.</w:t>
            </w:r>
          </w:p>
        </w:tc>
        <w:tc>
          <w:tcPr>
            <w:tcW w:w="2268" w:type="dxa"/>
            <w:vAlign w:val="center"/>
          </w:tcPr>
          <w:p w14:paraId="148AB76A" w14:textId="01632290" w:rsidR="00B818D6" w:rsidRPr="009F6B51" w:rsidRDefault="009F6B51" w:rsidP="009F6B51">
            <w:pPr>
              <w:spacing w:line="276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X</w:t>
            </w:r>
          </w:p>
        </w:tc>
        <w:tc>
          <w:tcPr>
            <w:tcW w:w="2312" w:type="dxa"/>
            <w:vAlign w:val="center"/>
          </w:tcPr>
          <w:p w14:paraId="28AB1495" w14:textId="77777777" w:rsidR="00B818D6" w:rsidRPr="009F6B51" w:rsidRDefault="00B818D6" w:rsidP="009F6B51">
            <w:pPr>
              <w:spacing w:line="276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B818D6" w:rsidRPr="009F6B51" w14:paraId="3EA849D0" w14:textId="77777777" w:rsidTr="009F6B51">
        <w:tc>
          <w:tcPr>
            <w:tcW w:w="5382" w:type="dxa"/>
          </w:tcPr>
          <w:p w14:paraId="54E6C97C" w14:textId="1037A546" w:rsidR="00B818D6" w:rsidRPr="009F6B51" w:rsidRDefault="00B818D6" w:rsidP="0035030C">
            <w:pPr>
              <w:spacing w:line="276" w:lineRule="auto"/>
              <w:rPr>
                <w:rFonts w:ascii="Montserrat" w:hAnsi="Montserrat"/>
                <w:sz w:val="20"/>
                <w:szCs w:val="20"/>
              </w:rPr>
            </w:pPr>
            <w:r w:rsidRPr="009F6B51">
              <w:rPr>
                <w:rFonts w:ascii="Montserrat" w:hAnsi="Montserrat"/>
                <w:sz w:val="20"/>
                <w:szCs w:val="20"/>
              </w:rPr>
              <w:t>Establecer</w:t>
            </w:r>
            <w:r w:rsidR="009C40FE">
              <w:rPr>
                <w:rFonts w:ascii="Montserrat" w:hAnsi="Montserrat"/>
                <w:sz w:val="20"/>
                <w:szCs w:val="20"/>
              </w:rPr>
              <w:t xml:space="preserve"> a través de la consulta de primer contacto,</w:t>
            </w:r>
            <w:r w:rsidRPr="009F6B51">
              <w:rPr>
                <w:rFonts w:ascii="Montserrat" w:hAnsi="Montserrat"/>
                <w:sz w:val="20"/>
                <w:szCs w:val="20"/>
              </w:rPr>
              <w:t xml:space="preserve"> un diagnóstico y tratamiento correspondiente</w:t>
            </w:r>
            <w:r w:rsidR="009C40FE">
              <w:rPr>
                <w:rFonts w:ascii="Montserrat" w:hAnsi="Montserrat"/>
                <w:sz w:val="20"/>
                <w:szCs w:val="20"/>
              </w:rPr>
              <w:t>s</w:t>
            </w:r>
            <w:r w:rsidRPr="009F6B51">
              <w:rPr>
                <w:rFonts w:ascii="Montserrat" w:hAnsi="Montserrat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34CC7A41" w14:textId="53319BA5" w:rsidR="00B818D6" w:rsidRPr="009F6B51" w:rsidRDefault="009F6B51" w:rsidP="009F6B51">
            <w:pPr>
              <w:spacing w:line="276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X</w:t>
            </w:r>
          </w:p>
        </w:tc>
        <w:tc>
          <w:tcPr>
            <w:tcW w:w="2312" w:type="dxa"/>
            <w:vAlign w:val="center"/>
          </w:tcPr>
          <w:p w14:paraId="237AF225" w14:textId="77777777" w:rsidR="00B818D6" w:rsidRPr="009F6B51" w:rsidRDefault="00B818D6" w:rsidP="009F6B51">
            <w:pPr>
              <w:spacing w:line="276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B818D6" w:rsidRPr="009F6B51" w14:paraId="68C5968A" w14:textId="77777777" w:rsidTr="009F6B51">
        <w:tc>
          <w:tcPr>
            <w:tcW w:w="5382" w:type="dxa"/>
          </w:tcPr>
          <w:p w14:paraId="59247845" w14:textId="6925E4D1" w:rsidR="00B818D6" w:rsidRPr="009F6B51" w:rsidRDefault="00B818D6" w:rsidP="0035030C">
            <w:pPr>
              <w:spacing w:line="276" w:lineRule="auto"/>
              <w:rPr>
                <w:rFonts w:ascii="Montserrat" w:hAnsi="Montserrat"/>
                <w:sz w:val="20"/>
                <w:szCs w:val="20"/>
              </w:rPr>
            </w:pPr>
            <w:r w:rsidRPr="009F6B51">
              <w:rPr>
                <w:rFonts w:ascii="Montserrat" w:hAnsi="Montserrat"/>
                <w:sz w:val="20"/>
                <w:szCs w:val="20"/>
              </w:rPr>
              <w:t>Elaboración e integración de la historia clínica general del personal.</w:t>
            </w:r>
          </w:p>
        </w:tc>
        <w:tc>
          <w:tcPr>
            <w:tcW w:w="2268" w:type="dxa"/>
            <w:vAlign w:val="center"/>
          </w:tcPr>
          <w:p w14:paraId="6726C262" w14:textId="77777777" w:rsidR="00B818D6" w:rsidRPr="009F6B51" w:rsidRDefault="00B818D6" w:rsidP="009F6B51">
            <w:pPr>
              <w:spacing w:line="276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312" w:type="dxa"/>
            <w:vAlign w:val="center"/>
          </w:tcPr>
          <w:p w14:paraId="54FC2934" w14:textId="312CDEA9" w:rsidR="00B818D6" w:rsidRPr="009F6B51" w:rsidRDefault="009F6B51" w:rsidP="009F6B51">
            <w:pPr>
              <w:spacing w:line="276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X</w:t>
            </w:r>
          </w:p>
        </w:tc>
      </w:tr>
    </w:tbl>
    <w:p w14:paraId="4E94E4DD" w14:textId="77777777" w:rsidR="00B818D6" w:rsidRDefault="00B818D6" w:rsidP="0035030C">
      <w:pPr>
        <w:spacing w:line="276" w:lineRule="auto"/>
        <w:rPr>
          <w:rFonts w:ascii="Montserrat" w:hAnsi="Montserrat"/>
        </w:rPr>
      </w:pPr>
    </w:p>
    <w:p w14:paraId="77747605" w14:textId="77777777" w:rsidR="00B818D6" w:rsidRPr="00B818D6" w:rsidRDefault="00B818D6" w:rsidP="0035030C">
      <w:pPr>
        <w:spacing w:line="276" w:lineRule="auto"/>
        <w:rPr>
          <w:rFonts w:ascii="Montserrat" w:hAnsi="Montserrat"/>
          <w:b/>
          <w:bCs/>
        </w:rPr>
      </w:pPr>
      <w:r w:rsidRPr="00B818D6">
        <w:rPr>
          <w:rFonts w:ascii="Montserrat" w:hAnsi="Montserrat"/>
          <w:b/>
          <w:bCs/>
        </w:rPr>
        <w:t>¿Con quién compartimos su información personal y para qué fines?</w:t>
      </w:r>
    </w:p>
    <w:p w14:paraId="454103D9" w14:textId="77777777" w:rsidR="00B818D6" w:rsidRDefault="00B818D6" w:rsidP="0035030C">
      <w:pPr>
        <w:spacing w:line="276" w:lineRule="auto"/>
        <w:rPr>
          <w:rFonts w:ascii="Montserrat" w:hAnsi="Montserrat"/>
        </w:rPr>
      </w:pPr>
    </w:p>
    <w:p w14:paraId="51E3C426" w14:textId="419355CF" w:rsidR="00B818D6" w:rsidRDefault="009C40FE" w:rsidP="00B818D6">
      <w:pPr>
        <w:spacing w:line="276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N</w:t>
      </w:r>
      <w:r w:rsidR="00B818D6" w:rsidRPr="00B818D6">
        <w:rPr>
          <w:rFonts w:ascii="Montserrat" w:hAnsi="Montserrat"/>
        </w:rPr>
        <w:t>o se realizarán transferencias de datos personales, salvo aquéllas que sean necesarias para atender requerimientos de información de una autoridad competente, que estén debidamente fundados y motivados.</w:t>
      </w:r>
    </w:p>
    <w:p w14:paraId="61BC46B9" w14:textId="77777777" w:rsidR="00B818D6" w:rsidRDefault="00B818D6" w:rsidP="0035030C">
      <w:pPr>
        <w:spacing w:line="276" w:lineRule="auto"/>
        <w:rPr>
          <w:rFonts w:ascii="Montserrat" w:hAnsi="Montserrat"/>
        </w:rPr>
      </w:pPr>
    </w:p>
    <w:p w14:paraId="61554814" w14:textId="77777777" w:rsidR="0059287E" w:rsidRDefault="00B818D6" w:rsidP="00B818D6">
      <w:pPr>
        <w:spacing w:line="276" w:lineRule="auto"/>
        <w:jc w:val="center"/>
        <w:rPr>
          <w:rFonts w:ascii="Montserrat" w:hAnsi="Montserrat"/>
          <w:sz w:val="20"/>
          <w:szCs w:val="20"/>
        </w:rPr>
      </w:pPr>
      <w:r w:rsidRPr="00B818D6">
        <w:rPr>
          <w:rFonts w:ascii="Montserrat" w:hAnsi="Montserrat"/>
          <w:b/>
          <w:bCs/>
          <w:sz w:val="20"/>
          <w:szCs w:val="20"/>
        </w:rPr>
        <w:t xml:space="preserve">Si desea conocer nuestro aviso de privacidad integral, lo podrá consultar en: </w:t>
      </w:r>
      <w:hyperlink r:id="rId7" w:history="1">
        <w:r w:rsidR="0059287E" w:rsidRPr="00BC7063">
          <w:rPr>
            <w:rStyle w:val="Hipervnculo"/>
            <w:rFonts w:ascii="Montserrat" w:hAnsi="Montserrat"/>
            <w:sz w:val="20"/>
            <w:szCs w:val="20"/>
          </w:rPr>
          <w:t>http://www.fonatur.gob.mx/gobmx/transparencia/index_ProDatfonatur.asp</w:t>
        </w:r>
      </w:hyperlink>
    </w:p>
    <w:p w14:paraId="0F7DCCAD" w14:textId="6F2EA13F" w:rsidR="00B818D6" w:rsidRDefault="00B818D6" w:rsidP="0035030C">
      <w:pPr>
        <w:spacing w:line="276" w:lineRule="auto"/>
        <w:rPr>
          <w:rFonts w:ascii="Montserrat" w:hAnsi="Montserrat"/>
        </w:rPr>
      </w:pPr>
    </w:p>
    <w:p w14:paraId="6AECD5CF" w14:textId="1AD36402" w:rsidR="009F6B51" w:rsidRDefault="009F6B51" w:rsidP="0035030C">
      <w:pPr>
        <w:spacing w:line="276" w:lineRule="auto"/>
        <w:rPr>
          <w:rFonts w:ascii="Montserrat" w:hAnsi="Montserrat"/>
        </w:rPr>
      </w:pPr>
    </w:p>
    <w:p w14:paraId="4C3E7A5A" w14:textId="78AE2941" w:rsidR="0035030C" w:rsidRPr="00B818D6" w:rsidRDefault="00B818D6" w:rsidP="00B818D6">
      <w:pPr>
        <w:spacing w:line="276" w:lineRule="auto"/>
        <w:jc w:val="right"/>
        <w:rPr>
          <w:rFonts w:ascii="Montserrat" w:hAnsi="Montserrat"/>
        </w:rPr>
      </w:pPr>
      <w:r w:rsidRPr="00B818D6">
        <w:rPr>
          <w:rFonts w:ascii="Montserrat" w:hAnsi="Montserrat"/>
        </w:rPr>
        <w:t xml:space="preserve">Última actualización: </w:t>
      </w:r>
      <w:r w:rsidR="009F6B51">
        <w:rPr>
          <w:rFonts w:ascii="Montserrat" w:hAnsi="Montserrat"/>
        </w:rPr>
        <w:t>04</w:t>
      </w:r>
      <w:r w:rsidRPr="00B818D6">
        <w:rPr>
          <w:rFonts w:ascii="Montserrat" w:hAnsi="Montserrat"/>
        </w:rPr>
        <w:t>/0</w:t>
      </w:r>
      <w:r w:rsidR="009F6B51">
        <w:rPr>
          <w:rFonts w:ascii="Montserrat" w:hAnsi="Montserrat"/>
        </w:rPr>
        <w:t>1</w:t>
      </w:r>
      <w:r w:rsidRPr="00B818D6">
        <w:rPr>
          <w:rFonts w:ascii="Montserrat" w:hAnsi="Montserrat"/>
        </w:rPr>
        <w:t>/202</w:t>
      </w:r>
      <w:r w:rsidR="009F6B51">
        <w:rPr>
          <w:rFonts w:ascii="Montserrat" w:hAnsi="Montserrat"/>
        </w:rPr>
        <w:t>3</w:t>
      </w:r>
    </w:p>
    <w:sectPr w:rsidR="0035030C" w:rsidRPr="00B818D6" w:rsidSect="00A81F2D">
      <w:headerReference w:type="default" r:id="rId8"/>
      <w:footerReference w:type="default" r:id="rId9"/>
      <w:pgSz w:w="12240" w:h="15840"/>
      <w:pgMar w:top="2552" w:right="1134" w:bottom="1701" w:left="1134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FE808" w14:textId="77777777" w:rsidR="00DA7AB4" w:rsidRDefault="00DA7AB4" w:rsidP="009D2B83">
      <w:r>
        <w:separator/>
      </w:r>
    </w:p>
  </w:endnote>
  <w:endnote w:type="continuationSeparator" w:id="0">
    <w:p w14:paraId="1FB5E167" w14:textId="77777777" w:rsidR="00DA7AB4" w:rsidRDefault="00DA7AB4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7D4F" w14:textId="77777777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578CF87E" w14:textId="77777777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5625EDD6" w14:textId="77777777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ED36" w14:textId="77777777" w:rsidR="00DA7AB4" w:rsidRDefault="00DA7AB4" w:rsidP="009D2B83">
      <w:r>
        <w:separator/>
      </w:r>
    </w:p>
  </w:footnote>
  <w:footnote w:type="continuationSeparator" w:id="0">
    <w:p w14:paraId="56B99AB2" w14:textId="77777777" w:rsidR="00DA7AB4" w:rsidRDefault="00DA7AB4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7C78" w14:textId="539A9B6E" w:rsidR="009F6B51" w:rsidRDefault="009F6B5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9AE29E" wp14:editId="6D49BBF3">
          <wp:simplePos x="0" y="0"/>
          <wp:positionH relativeFrom="margin">
            <wp:align>center</wp:align>
          </wp:positionH>
          <wp:positionV relativeFrom="paragraph">
            <wp:posOffset>-984084</wp:posOffset>
          </wp:positionV>
          <wp:extent cx="7797800" cy="1015774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0" cy="10157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7AD7F8" w14:textId="77777777" w:rsidR="009F6B51" w:rsidRPr="00B95549" w:rsidRDefault="009F6B51" w:rsidP="009F6B51">
    <w:pPr>
      <w:jc w:val="right"/>
      <w:rPr>
        <w:rFonts w:ascii="Montserrat" w:hAnsi="Montserrat"/>
        <w:color w:val="C89800"/>
        <w:sz w:val="18"/>
        <w:szCs w:val="18"/>
      </w:rPr>
    </w:pPr>
    <w:r w:rsidRPr="00B95549">
      <w:rPr>
        <w:rFonts w:ascii="Montserrat" w:hAnsi="Montserrat"/>
        <w:color w:val="C89800"/>
        <w:sz w:val="18"/>
        <w:szCs w:val="18"/>
      </w:rPr>
      <w:t>FONDO NACIONAL DE FOMENTO AL TURISMO</w:t>
    </w:r>
  </w:p>
  <w:p w14:paraId="2DBC1186" w14:textId="77777777" w:rsidR="009F6B51" w:rsidRPr="00B95549" w:rsidRDefault="009F6B51" w:rsidP="009F6B51">
    <w:pPr>
      <w:jc w:val="right"/>
      <w:rPr>
        <w:rFonts w:ascii="Montserrat" w:hAnsi="Montserrat"/>
        <w:color w:val="C89800"/>
        <w:sz w:val="18"/>
        <w:szCs w:val="18"/>
      </w:rPr>
    </w:pPr>
    <w:r w:rsidRPr="00B95549">
      <w:rPr>
        <w:rFonts w:ascii="Montserrat" w:hAnsi="Montserrat"/>
        <w:color w:val="C89800"/>
        <w:sz w:val="18"/>
        <w:szCs w:val="18"/>
      </w:rPr>
      <w:t>DIRECCIÓN DE ADMINISTRACIÓN Y FINANZAS</w:t>
    </w:r>
  </w:p>
  <w:p w14:paraId="22F8FFA6" w14:textId="77777777" w:rsidR="009F6B51" w:rsidRPr="00B95549" w:rsidRDefault="009F6B51" w:rsidP="009F6B51">
    <w:pPr>
      <w:pStyle w:val="Encabezado"/>
      <w:jc w:val="right"/>
      <w:rPr>
        <w:rFonts w:ascii="Montserrat" w:hAnsi="Montserrat"/>
        <w:color w:val="C89800"/>
        <w:sz w:val="18"/>
        <w:szCs w:val="18"/>
      </w:rPr>
    </w:pPr>
    <w:r w:rsidRPr="00B95549">
      <w:rPr>
        <w:rFonts w:ascii="Montserrat" w:hAnsi="Montserrat"/>
        <w:color w:val="C89800"/>
        <w:sz w:val="18"/>
        <w:szCs w:val="18"/>
      </w:rPr>
      <w:t>SUBDIRECCIÓN DE CAPITAL HUMANO</w:t>
    </w:r>
  </w:p>
  <w:p w14:paraId="0C7B7259" w14:textId="77777777" w:rsidR="009F6B51" w:rsidRDefault="009F6B51" w:rsidP="009F6B5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E6CFF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2257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83"/>
    <w:rsid w:val="00063606"/>
    <w:rsid w:val="00075B5E"/>
    <w:rsid w:val="000B3432"/>
    <w:rsid w:val="00114F26"/>
    <w:rsid w:val="00167D74"/>
    <w:rsid w:val="001A3A63"/>
    <w:rsid w:val="001B788E"/>
    <w:rsid w:val="002E777C"/>
    <w:rsid w:val="0035030C"/>
    <w:rsid w:val="00395763"/>
    <w:rsid w:val="003A77CD"/>
    <w:rsid w:val="003E1398"/>
    <w:rsid w:val="00441D77"/>
    <w:rsid w:val="00493615"/>
    <w:rsid w:val="0054011C"/>
    <w:rsid w:val="0059287E"/>
    <w:rsid w:val="0059483B"/>
    <w:rsid w:val="005B6B8D"/>
    <w:rsid w:val="005C6B13"/>
    <w:rsid w:val="005D52E3"/>
    <w:rsid w:val="005E74D5"/>
    <w:rsid w:val="005F6D9F"/>
    <w:rsid w:val="006772F4"/>
    <w:rsid w:val="006D3AEB"/>
    <w:rsid w:val="00770889"/>
    <w:rsid w:val="007B4345"/>
    <w:rsid w:val="007F1FC7"/>
    <w:rsid w:val="0080225B"/>
    <w:rsid w:val="00820381"/>
    <w:rsid w:val="00850961"/>
    <w:rsid w:val="00857776"/>
    <w:rsid w:val="00920D98"/>
    <w:rsid w:val="009A1DB5"/>
    <w:rsid w:val="009A605C"/>
    <w:rsid w:val="009B62C8"/>
    <w:rsid w:val="009C40FE"/>
    <w:rsid w:val="009D2A75"/>
    <w:rsid w:val="009D2B83"/>
    <w:rsid w:val="009F6B51"/>
    <w:rsid w:val="00A01246"/>
    <w:rsid w:val="00A81F2D"/>
    <w:rsid w:val="00A84C3A"/>
    <w:rsid w:val="00B028FB"/>
    <w:rsid w:val="00B12FD2"/>
    <w:rsid w:val="00B14CE5"/>
    <w:rsid w:val="00B34698"/>
    <w:rsid w:val="00B818D6"/>
    <w:rsid w:val="00B94812"/>
    <w:rsid w:val="00BC6C50"/>
    <w:rsid w:val="00CA7AA1"/>
    <w:rsid w:val="00CB1E55"/>
    <w:rsid w:val="00CC44E9"/>
    <w:rsid w:val="00CF1E6B"/>
    <w:rsid w:val="00D77947"/>
    <w:rsid w:val="00DA7AB4"/>
    <w:rsid w:val="00DD6CE5"/>
    <w:rsid w:val="00E36002"/>
    <w:rsid w:val="00E433A5"/>
    <w:rsid w:val="00E853A3"/>
    <w:rsid w:val="00F051C5"/>
    <w:rsid w:val="00F44A7F"/>
    <w:rsid w:val="00F4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87F66"/>
  <w15:chartTrackingRefBased/>
  <w15:docId w15:val="{F09C53B0-FDAF-CA41-9D52-F48C01C3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table" w:styleId="Tablaconcuadrcula">
    <w:name w:val="Table Grid"/>
    <w:basedOn w:val="Tablanormal"/>
    <w:uiPriority w:val="39"/>
    <w:rsid w:val="00B81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818D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18D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95763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957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9576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9576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57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5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onatur.gob.mx/gobmx/transparencia/index_ProDatfonatur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1267</Characters>
  <Application>Microsoft Office Word</Application>
  <DocSecurity>4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Irma Maria Ortega Garcia</cp:lastModifiedBy>
  <cp:revision>2</cp:revision>
  <dcterms:created xsi:type="dcterms:W3CDTF">2023-01-11T16:33:00Z</dcterms:created>
  <dcterms:modified xsi:type="dcterms:W3CDTF">2023-01-11T16:33:00Z</dcterms:modified>
</cp:coreProperties>
</file>